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</w:rPr>
        <w:t>(Date)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 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</w:rPr>
        <w:t>To: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(Name/address of organization)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 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Regarding: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(Name of client)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 </w:t>
      </w:r>
    </w:p>
    <w:p>
      <w:pPr>
        <w:pStyle w:val="Body"/>
        <w:widowControl w:val="0"/>
        <w:ind w:firstLine="96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Please be advised that Nebraska VR has conducted a background check on (client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’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s name)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</w:rPr>
        <w:t>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  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>This background check was done primarily to assist VR in the provision of services to the client, not for or at the request of employers or other third parties.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>This background check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included state of Nebraska records though (1) the Justice computer service of Nebraska.gov; (2) the State Patrol, and (3) Nebraska DMV.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The Nebraska Sex Offender Registry on the State Patrol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’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s web site and the Nebraska Child and Adult Abuse/Neglect registries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 xml:space="preserve">maintained by the Nebraska Department of Health &amp; Human Services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were also checked.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If this person has resided outside of Nebraska in the past 20-year period, we have checked those states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>criminal records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 to the extent we can under their laws and procedures.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The background checks revealed (no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 xml:space="preserve">criminal convictions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</w:rPr>
        <w:t xml:space="preserve">or list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>criminal convictions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) and there were no records found (or the following record was found) regarding </w:t>
      </w:r>
      <w:r>
        <w:rPr>
          <w:rFonts w:ascii="Calibri" w:cs="Calibri" w:hAnsi="Calibri" w:eastAsia="Calibri"/>
          <w:color w:val="132857"/>
          <w:sz w:val="40"/>
          <w:szCs w:val="40"/>
          <w:u w:val="single" w:color="132857"/>
          <w:rtl w:val="0"/>
          <w:lang w:val="en-US"/>
        </w:rPr>
        <w:t>child or adult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it-IT"/>
        </w:rPr>
        <w:t xml:space="preserve"> abuse/neglect.</w:t>
      </w:r>
    </w:p>
    <w:p>
      <w:pPr>
        <w:pStyle w:val="Body"/>
        <w:widowControl w:val="0"/>
        <w:ind w:firstLine="96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 </w:t>
      </w:r>
    </w:p>
    <w:p>
      <w:pPr>
        <w:pStyle w:val="Body"/>
        <w:widowControl w:val="0"/>
        <w:ind w:firstLine="96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This information is for use by your entity only for purposes of providing an OJE/Job Shadowing experience for the above named individual.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Do no re-disclose this information outside of your entity without the written consent of that person.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Please contact me at (VR contact direct line) if you have any questions.</w:t>
      </w:r>
    </w:p>
    <w:p>
      <w:pPr>
        <w:pStyle w:val="Body"/>
        <w:widowControl w:val="0"/>
        <w:ind w:firstLine="96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  <w:lang w:val="en-US"/>
        </w:rPr>
        <w:t> </w:t>
      </w:r>
    </w:p>
    <w:p>
      <w:pPr>
        <w:pStyle w:val="Body"/>
        <w:widowControl w:val="0"/>
        <w:ind w:firstLine="960"/>
        <w:rPr>
          <w:sz w:val="32"/>
          <w:szCs w:val="32"/>
        </w:rPr>
      </w:pPr>
      <w:r>
        <w:rPr>
          <w:rFonts w:ascii="Calibri" w:cs="Calibri" w:hAnsi="Calibri" w:eastAsia="Calibri"/>
          <w:color w:val="132857"/>
          <w:sz w:val="40"/>
          <w:szCs w:val="40"/>
          <w:u w:color="132857"/>
          <w:rtl w:val="0"/>
        </w:rPr>
        <w:t>Thank you.</w:t>
      </w:r>
    </w:p>
    <w:p>
      <w:pPr>
        <w:pStyle w:val="Body"/>
        <w:widowControl w:val="0"/>
        <w:rPr>
          <w:sz w:val="32"/>
          <w:szCs w:val="32"/>
        </w:rPr>
      </w:pPr>
      <w:r>
        <w:rPr>
          <w:rFonts w:ascii="Calibri" w:cs="Calibri" w:hAnsi="Calibri" w:eastAsia="Calibri"/>
          <w:color w:val="18376a"/>
          <w:sz w:val="30"/>
          <w:szCs w:val="30"/>
          <w:u w:color="18376a"/>
          <w:rtl w:val="0"/>
          <w:lang w:val="en-US"/>
        </w:rPr>
        <w:t> </w:t>
      </w:r>
    </w:p>
    <w:p>
      <w:pPr>
        <w:pStyle w:val="Body"/>
      </w:pPr>
      <w:r>
        <w:rPr>
          <w:rFonts w:ascii="Calibri" w:cs="Calibri" w:hAnsi="Calibri" w:eastAsia="Calibri"/>
          <w:color w:val="fb0007"/>
          <w:sz w:val="38"/>
          <w:szCs w:val="38"/>
          <w:u w:color="fb0007"/>
          <w:rtl w:val="0"/>
          <w:lang w:val="en-US"/>
        </w:rPr>
        <w:t>Make sure that the client specifically authorizes VR to release the results of the HHS registry checks to the entity that is providing the OJE/Job Shadow opportunity when drafting the permission document you refer to.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